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763"/>
        <w:tblW w:w="14954" w:type="dxa"/>
        <w:tblBorders>
          <w:top w:val="single" w:sz="4" w:space="0" w:color="7030A0"/>
          <w:left w:val="single" w:sz="4" w:space="0" w:color="7030A0"/>
          <w:bottom w:val="single" w:sz="4" w:space="0" w:color="7030A0"/>
          <w:right w:val="single" w:sz="4" w:space="0" w:color="7030A0"/>
          <w:insideH w:val="single" w:sz="4" w:space="0" w:color="7030A0"/>
          <w:insideV w:val="single" w:sz="8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764"/>
        <w:gridCol w:w="12190"/>
      </w:tblGrid>
      <w:tr w:rsidR="008365E1" w:rsidRPr="004107EC" w:rsidTr="008365E1">
        <w:trPr>
          <w:trHeight w:val="749"/>
        </w:trPr>
        <w:tc>
          <w:tcPr>
            <w:tcW w:w="149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8365E1" w:rsidRPr="00D210A9" w:rsidRDefault="008365E1" w:rsidP="008365E1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/>
                <w:b/>
                <w:bCs/>
                <w:color w:val="7030A0"/>
                <w:lang w:eastAsia="tr-TR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br w:type="page"/>
            </w:r>
            <w:r>
              <w:rPr>
                <w:rFonts w:ascii="Times New Roman" w:eastAsia="Times New Roman" w:hAnsi="Times New Roman"/>
                <w:b/>
                <w:bCs/>
                <w:color w:val="7030A0"/>
                <w:lang w:eastAsia="tr-TR"/>
              </w:rPr>
              <w:t xml:space="preserve">ZİHİNSEL YETERSİZLİĞİ </w:t>
            </w:r>
            <w:r w:rsidRPr="00F32386">
              <w:rPr>
                <w:rFonts w:ascii="Times New Roman" w:eastAsia="Times New Roman" w:hAnsi="Times New Roman"/>
                <w:b/>
                <w:bCs/>
                <w:color w:val="7030A0"/>
                <w:lang w:eastAsia="tr-TR"/>
              </w:rPr>
              <w:t>OLAN</w:t>
            </w:r>
            <w:r>
              <w:rPr>
                <w:rFonts w:ascii="Times New Roman" w:eastAsia="Times New Roman" w:hAnsi="Times New Roman"/>
                <w:b/>
                <w:bCs/>
                <w:color w:val="7030A0"/>
                <w:lang w:eastAsia="tr-TR"/>
              </w:rPr>
              <w:t xml:space="preserve"> </w:t>
            </w:r>
            <w:r w:rsidRPr="004107EC">
              <w:rPr>
                <w:rFonts w:ascii="Times New Roman" w:eastAsia="Times New Roman" w:hAnsi="Times New Roman"/>
                <w:b/>
                <w:bCs/>
                <w:color w:val="7030A0"/>
                <w:lang w:eastAsia="tr-TR"/>
              </w:rPr>
              <w:t>ÇOCUKLARI</w:t>
            </w:r>
            <w:r>
              <w:rPr>
                <w:rFonts w:ascii="Times New Roman" w:eastAsia="Times New Roman" w:hAnsi="Times New Roman"/>
                <w:b/>
                <w:bCs/>
                <w:color w:val="7030A0"/>
                <w:lang w:eastAsia="tr-TR"/>
              </w:rPr>
              <w:t xml:space="preserve"> </w:t>
            </w:r>
            <w:r w:rsidRPr="00D210A9">
              <w:rPr>
                <w:rFonts w:ascii="Times New Roman" w:eastAsia="Times New Roman" w:hAnsi="Times New Roman"/>
                <w:b/>
                <w:bCs/>
                <w:color w:val="7030A0"/>
                <w:lang w:eastAsia="tr-TR"/>
              </w:rPr>
              <w:t>DESTEKLEMEDE DİKKAT EDİLMESİ GEREKEN NOKTALAR</w:t>
            </w:r>
          </w:p>
        </w:tc>
      </w:tr>
      <w:tr w:rsidR="008365E1" w:rsidRPr="006B0485" w:rsidTr="008365E1">
        <w:trPr>
          <w:trHeight w:hRule="exact" w:val="2800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365E1" w:rsidRPr="00F55366" w:rsidRDefault="008365E1" w:rsidP="00836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7030A0"/>
                <w:lang w:eastAsia="tr-TR"/>
              </w:rPr>
            </w:pPr>
            <w:r w:rsidRPr="00F55366">
              <w:rPr>
                <w:rFonts w:ascii="Times New Roman" w:eastAsia="Times New Roman" w:hAnsi="Times New Roman"/>
                <w:b/>
                <w:color w:val="7030A0"/>
                <w:lang w:eastAsia="tr-TR"/>
              </w:rPr>
              <w:t>BELİRTİLERİ</w:t>
            </w:r>
          </w:p>
          <w:p w:rsidR="008365E1" w:rsidRPr="000E3356" w:rsidRDefault="008365E1" w:rsidP="00836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lang w:eastAsia="tr-TR"/>
              </w:rPr>
            </w:pPr>
          </w:p>
        </w:tc>
        <w:tc>
          <w:tcPr>
            <w:tcW w:w="12190" w:type="dxa"/>
            <w:shd w:val="clear" w:color="auto" w:fill="auto"/>
            <w:noWrap/>
            <w:vAlign w:val="center"/>
          </w:tcPr>
          <w:p w:rsidR="008365E1" w:rsidRPr="006F3276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Hem uzun hem de kısa süreli bellekte sorun yaşama,</w:t>
            </w:r>
          </w:p>
          <w:p w:rsidR="008365E1" w:rsidRPr="006F3276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Dikkat sürelerinin kısa olması,</w:t>
            </w:r>
          </w:p>
          <w:p w:rsidR="008365E1" w:rsidRPr="006F3276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Dili anlamada sorun yaşama,</w:t>
            </w:r>
          </w:p>
          <w:p w:rsidR="008365E1" w:rsidRPr="006F3276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İfade edici dilde gecikme, telaffuz ve konuşmada akıcılık sorunları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yaşama,</w:t>
            </w:r>
          </w:p>
          <w:p w:rsidR="008365E1" w:rsidRPr="006F3276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Akademik alanda akranlarından geri kalma,</w:t>
            </w:r>
          </w:p>
          <w:p w:rsidR="008365E1" w:rsidRPr="006F3276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Problemi çözme yolları bulmada sorun yaşama,</w:t>
            </w:r>
          </w:p>
          <w:p w:rsidR="008365E1" w:rsidRPr="006F3276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Öğrendikleri bilgileri genellemede sorun yaşama,</w:t>
            </w:r>
          </w:p>
          <w:p w:rsidR="008365E1" w:rsidRPr="006F3276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Sosyal ilişkilerde sorun yaşama,</w:t>
            </w:r>
          </w:p>
          <w:p w:rsidR="008365E1" w:rsidRPr="006B0485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İçinde bulunduğu ortama uyum davranışlarında sorun yaşama gibi.</w:t>
            </w:r>
          </w:p>
        </w:tc>
      </w:tr>
      <w:tr w:rsidR="008365E1" w:rsidRPr="00F55366" w:rsidTr="008365E1">
        <w:trPr>
          <w:trHeight w:hRule="exact" w:val="563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365E1" w:rsidRPr="00F55366" w:rsidRDefault="008365E1" w:rsidP="00836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7030A0"/>
                <w:lang w:eastAsia="tr-TR"/>
              </w:rPr>
            </w:pPr>
            <w:r w:rsidRPr="00F55366">
              <w:rPr>
                <w:rFonts w:ascii="Times New Roman" w:eastAsia="Times New Roman" w:hAnsi="Times New Roman"/>
                <w:b/>
                <w:color w:val="7030A0"/>
                <w:lang w:eastAsia="tr-TR"/>
              </w:rPr>
              <w:t>GELİŞİM ALANLARI</w:t>
            </w:r>
          </w:p>
        </w:tc>
        <w:tc>
          <w:tcPr>
            <w:tcW w:w="12190" w:type="dxa"/>
            <w:shd w:val="clear" w:color="auto" w:fill="auto"/>
            <w:vAlign w:val="center"/>
            <w:hideMark/>
          </w:tcPr>
          <w:p w:rsidR="008365E1" w:rsidRPr="00F55366" w:rsidRDefault="008365E1" w:rsidP="008365E1">
            <w:pPr>
              <w:tabs>
                <w:tab w:val="left" w:pos="330"/>
              </w:tabs>
              <w:spacing w:after="0" w:line="240" w:lineRule="auto"/>
              <w:ind w:left="316" w:hanging="245"/>
              <w:rPr>
                <w:rFonts w:ascii="Times New Roman" w:eastAsia="Times New Roman" w:hAnsi="Times New Roman"/>
                <w:b/>
                <w:color w:val="7030A0"/>
                <w:lang w:eastAsia="tr-TR"/>
              </w:rPr>
            </w:pPr>
            <w:r w:rsidRPr="00F55366">
              <w:rPr>
                <w:rFonts w:ascii="Times New Roman" w:eastAsia="Times New Roman" w:hAnsi="Times New Roman"/>
                <w:b/>
                <w:color w:val="7030A0"/>
                <w:lang w:eastAsia="tr-TR"/>
              </w:rPr>
              <w:t>DİKKAT EDİLECEK NOKTALAR</w:t>
            </w:r>
          </w:p>
        </w:tc>
      </w:tr>
      <w:tr w:rsidR="008365E1" w:rsidRPr="00D83C54" w:rsidTr="008365E1">
        <w:trPr>
          <w:trHeight w:hRule="exact" w:val="5385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365E1" w:rsidRPr="00F55366" w:rsidRDefault="008365E1" w:rsidP="00836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7030A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lang w:eastAsia="tr-TR"/>
              </w:rPr>
              <w:t>Öz bakım</w:t>
            </w:r>
          </w:p>
        </w:tc>
        <w:tc>
          <w:tcPr>
            <w:tcW w:w="12190" w:type="dxa"/>
            <w:shd w:val="clear" w:color="auto" w:fill="auto"/>
            <w:vAlign w:val="center"/>
            <w:hideMark/>
          </w:tcPr>
          <w:p w:rsidR="008365E1" w:rsidRPr="006F3276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Öz bakım becerilerinin kazandırılabilmesi için çocuğun önceden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gerçekleştirmesi gereken ön koşul beceriler vardır. Bunlar;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el göz koordinasyonu, hareketleri taklit etme, görsel dikkat,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basit yönergeleri anlama gibi büyük ve küçük kasların kullanımını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gerektiren becerilerdir. Çocuğun bu becerileri kazanmış olmasına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dikkat edilmelidir.</w:t>
            </w:r>
          </w:p>
          <w:p w:rsidR="008365E1" w:rsidRPr="006F3276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Öz bakım becerileri kazandırılırken beceri analizi yöntemi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kullanılır. Beceri analizinde, kazandırılmak istenen beceriler küçük,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öğrenilmesi kolay alt beceri basamaklarına (işlem basamaklarına)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ayrılır.</w:t>
            </w:r>
          </w:p>
          <w:p w:rsidR="008365E1" w:rsidRPr="006F3276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Zihinsel yetersizliği olan çocuklara beceri öğretirken çok uzun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becerilerin tamamının kazandırılması yerine parçalara bölünerek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kazandırılması ve sonradan birleştirilerek tüm becerinin bir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arada gerçekleştirilmesi beklenmelidir. Örneğin: Diş fırçalama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becerisinde; musluk açma kapama, diş macunu kapağı açma-kapama,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diş fırçalama, tükürme becerileri ayrı </w:t>
            </w:r>
            <w:proofErr w:type="spellStart"/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ayrı</w:t>
            </w:r>
            <w:proofErr w:type="spellEnd"/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öğretilerek, çocuk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öğrendiğinde birleştirilmelidir.</w:t>
            </w:r>
          </w:p>
          <w:p w:rsidR="008365E1" w:rsidRPr="006F3276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Gerekirse, zihinsel yetersizliği olan öğrencinin takip edebilmesi için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resimli beceri analizleri hazırlanarak becerinin çalışılacağı ortamda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bulundurulmalıdır. (Örneğin: Okula giriş sırasında gerçekleştirilmesi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gereken ayakkabı çıkarma, okul ayakkabısı giyme, dışarıda giydiği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ayakkabıyı dolabına koyma, kabanını çıkarıp asma gibi beceri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basamaklarını içeren beceri analizi resimleri okul girişine asılabilir).</w:t>
            </w:r>
          </w:p>
          <w:p w:rsidR="008365E1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Öz bakım becerilerinin kazandırılmasında, çocuğun gereksinimine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bağlı olarak; sözel ipucu, işaret ipucu, model olma ve fiziksel yardım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ipuçları kullanılmalıdır. Öğretimde yardım türlerinin kullanılması,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yardım düzeyinin yavaş </w:t>
            </w:r>
            <w:proofErr w:type="spellStart"/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yavaş</w:t>
            </w:r>
            <w:proofErr w:type="spellEnd"/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azaltılması sonunda çocuğun davranışı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bağımsız olarak yapması sağlanır.</w:t>
            </w:r>
          </w:p>
          <w:p w:rsidR="008365E1" w:rsidRPr="006F3276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Zihinsel yetersizliği olan çocuklar, beceri öğrenirken daha fazla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yönlendirilmeye ve desteklenmeye gereksinim duyarlar. Bu süreç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uzun süreli eğitimi ve sık tekrar etmeyi gerektirir. Bu çocuklar,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normal gelişim gösteren çocuklara oranla daha sık başarısızlıkla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karşı karşıya kalabilmektedirler. Bu nedenle, başarılı olma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6F3276">
              <w:rPr>
                <w:rFonts w:ascii="Times New Roman" w:eastAsia="Times New Roman" w:hAnsi="Times New Roman"/>
                <w:color w:val="000000"/>
                <w:lang w:eastAsia="tr-TR"/>
              </w:rPr>
              <w:t>girişimlerinin desteklenmesi ve pekiştirilmesi gerekir.</w:t>
            </w:r>
          </w:p>
        </w:tc>
      </w:tr>
      <w:tr w:rsidR="008365E1" w:rsidRPr="00D83C54" w:rsidTr="008365E1">
        <w:trPr>
          <w:trHeight w:val="2542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365E1" w:rsidRPr="00F55366" w:rsidRDefault="008365E1" w:rsidP="00836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7030A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lang w:eastAsia="tr-TR"/>
              </w:rPr>
              <w:lastRenderedPageBreak/>
              <w:t>Dil</w:t>
            </w:r>
          </w:p>
        </w:tc>
        <w:tc>
          <w:tcPr>
            <w:tcW w:w="12190" w:type="dxa"/>
            <w:shd w:val="clear" w:color="auto" w:fill="auto"/>
            <w:vAlign w:val="center"/>
            <w:hideMark/>
          </w:tcPr>
          <w:p w:rsidR="008365E1" w:rsidRPr="00CD453E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Zihinsel yetersizliği olan çocuklarda dil ve konuşma gelişimi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ve iletişim kurma sorunları ile karşılaşılabilir. Bu sorunların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giderilebilmesi ya da en aza indirilebilmesi için çocuğa uygun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uyarlamalar yapılarak programda yer alan ses çalışmaları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gerçekleştirilebilir.</w:t>
            </w:r>
          </w:p>
          <w:p w:rsidR="008365E1" w:rsidRPr="00CD453E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Dil gelişimini desteklemek için dil, dudak, yanak, çene ile ilgili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(üfleme, yalama ve çiğneme-şişirme gibi) egzersizler yapılabilir.</w:t>
            </w:r>
          </w:p>
          <w:p w:rsidR="008365E1" w:rsidRPr="00CD453E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Ses çalışmaları, çocuğun çıkarabildiği seslerden yola çıkılarak,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çıkaramadığı seslere doğru yapılmalıdır.</w:t>
            </w:r>
          </w:p>
          <w:p w:rsidR="008365E1" w:rsidRPr="00CD453E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Zihinsel yetersizliği olan çocukların sözcük dağarcıklarında sınırlılık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görülür. Etkinlikler sırasında çocuğun bilmediği sözcükler, </w:t>
            </w:r>
            <w:proofErr w:type="gramStart"/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mecazi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ifadeler üzerinde durularak gerekli açıklamalar yapılmalıdır.</w:t>
            </w:r>
          </w:p>
          <w:p w:rsidR="008365E1" w:rsidRPr="00CD453E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Bu çocukların etkinlikler sırasında konuşabilmeleri için gerekli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fırsatlar yaratılmalı ve çocuğun konuşması sabırla dinlenmeli,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çocuk konuşma için cesaretlendirilmelidir.</w:t>
            </w:r>
          </w:p>
        </w:tc>
      </w:tr>
      <w:tr w:rsidR="008365E1" w:rsidRPr="00D83C54" w:rsidTr="008365E1">
        <w:trPr>
          <w:trHeight w:val="6514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365E1" w:rsidRPr="00F55366" w:rsidRDefault="008365E1" w:rsidP="00836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7030A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lang w:eastAsia="tr-TR"/>
              </w:rPr>
              <w:t>Bilişsel</w:t>
            </w:r>
          </w:p>
        </w:tc>
        <w:tc>
          <w:tcPr>
            <w:tcW w:w="12190" w:type="dxa"/>
            <w:shd w:val="clear" w:color="auto" w:fill="auto"/>
            <w:vAlign w:val="center"/>
            <w:hideMark/>
          </w:tcPr>
          <w:p w:rsidR="008365E1" w:rsidRPr="00CD453E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Ortamda dikkat dağıtıcı nesneler bulundurulmamalıdır.</w:t>
            </w:r>
          </w:p>
          <w:p w:rsidR="008365E1" w:rsidRPr="00CD453E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Zihinsel yetersizliği olan çocuklar için sınıf içinde yönerge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vermeden önce çocuğun dikkatini çekmek için özel bir uyaran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kullanılmalıdır. Örneğin: “Herkes buraya baksın, </w:t>
            </w:r>
            <w:proofErr w:type="spellStart"/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Ayşen</w:t>
            </w:r>
            <w:proofErr w:type="spellEnd"/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sen de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bak.”</w:t>
            </w:r>
          </w:p>
          <w:p w:rsidR="008365E1" w:rsidRPr="00CD453E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Çocuğun dikkatini çekecek nesneler (hoşlandığı çizgi film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kahramanının olduğu bir materyal, sevdiği renkteki ayıcık gibi)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seçilerek etkinlikler sırasında kullanılmalıdır.</w:t>
            </w:r>
          </w:p>
          <w:p w:rsidR="008365E1" w:rsidRPr="00CD453E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Zihinsel yetersizliği olan çocukların dikkat süreleri az olduğundan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öğretim süresi kısa tutulmalıdır.</w:t>
            </w:r>
          </w:p>
          <w:p w:rsidR="008365E1" w:rsidRPr="00CD453E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Çocuklara model olunarak, önceden öğrendikleri kavramlar bir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sonraki konu ile ilişkilendirilerek bu kavramları hatırlamaları için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ipucu olarak kullanılmalıdır. Örneğin; kış mevsiminin özellikleri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anlatıldıktan sonra bir sonraki etkinlikte kış mevsiminde giyilen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giysilerin öğretimi yapılırken çocuğun bu özellikleri hatırlaması,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çocuğun düzeyine uygun ipuçlarıyla desteklenerek sağlanmalıdır.</w:t>
            </w:r>
          </w:p>
          <w:p w:rsidR="008365E1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Zihinsel yetersizliği olan çocuk için kazanım belirlenirken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programda yer alan kazanımlarda çocuğun düzeyine uygun olarak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gerekli uyarlamalar yapılmalıdır. Örn: 1’den 10’a kadar sayar yerine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1’den 5’e kadar sayar şeklinde ele almak uygun olabilir.</w:t>
            </w:r>
          </w:p>
          <w:p w:rsidR="008365E1" w:rsidRPr="00CD453E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Bu çocuklara etkinlikler sırasında gerekli olduğunda ek süre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verilerek başarılı girişimleri ödüllendirilmelidir.</w:t>
            </w:r>
          </w:p>
          <w:p w:rsidR="008365E1" w:rsidRPr="00CD453E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Zihinsel yetersizliği olan çocuklara soyut kavramlar kazandırılırken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somut nesneler kullanılarak çocuğun kavramasına yardımcı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olunmalıdır (Örneğin: Sevgi kavramının kazandırılmasında çocuğuna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sarılmış bir anne fotoğrafı, köpeğini seven bir çocuk fotoğrafı gibi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somut örnekler kullanılabilir).</w:t>
            </w:r>
          </w:p>
          <w:p w:rsidR="008365E1" w:rsidRPr="00CD453E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Bu çocuklar bir kavramı tam olarak kazanmadan diğer kavramın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kazandırılmasına geçilmemelidir.</w:t>
            </w:r>
          </w:p>
          <w:p w:rsidR="008365E1" w:rsidRPr="00CD453E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Zihinsel yetersizliği olan çocuğun çalışma sayfası basitleştirilmeli,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seviyesine uygun düzenleme yapılmalıdır.</w:t>
            </w:r>
          </w:p>
          <w:p w:rsidR="008365E1" w:rsidRPr="00CD453E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Etkinlikler sırasında uzun ve karmaşık cümleler yerine basit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yönergeler kullanılmalıdır.</w:t>
            </w:r>
          </w:p>
          <w:p w:rsidR="008365E1" w:rsidRPr="00CD453E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Zihinsel yetersizliği olan çocuğun kendi içinde gösterdiği gelişmeler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değerlendirilmelidir.</w:t>
            </w:r>
          </w:p>
          <w:p w:rsidR="008365E1" w:rsidRPr="00CD453E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Bu çocukların yapamadıklarına değil yapabildiklerine odaklanılmalıdır.</w:t>
            </w:r>
          </w:p>
          <w:p w:rsidR="008365E1" w:rsidRPr="00CD453E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Zihinsel yetersizliği olan çocukların başarıları anında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ödüllendirilmelidir.</w:t>
            </w:r>
          </w:p>
          <w:p w:rsidR="008365E1" w:rsidRPr="00CD453E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Zihinsel yetersizliği olan çocuklara öğrenme sürecinde sık </w:t>
            </w:r>
            <w:proofErr w:type="spellStart"/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sık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destekleyici geri bildirim verilmelidir.</w:t>
            </w:r>
          </w:p>
        </w:tc>
      </w:tr>
      <w:tr w:rsidR="008365E1" w:rsidRPr="00997902" w:rsidTr="008365E1">
        <w:trPr>
          <w:trHeight w:hRule="exact" w:val="3690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365E1" w:rsidRPr="00F55366" w:rsidRDefault="008365E1" w:rsidP="00836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7030A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lang w:eastAsia="tr-TR"/>
              </w:rPr>
              <w:lastRenderedPageBreak/>
              <w:t>Sosyal ve Duygusal</w:t>
            </w:r>
          </w:p>
        </w:tc>
        <w:tc>
          <w:tcPr>
            <w:tcW w:w="12190" w:type="dxa"/>
            <w:shd w:val="clear" w:color="auto" w:fill="auto"/>
            <w:vAlign w:val="center"/>
            <w:hideMark/>
          </w:tcPr>
          <w:p w:rsidR="008365E1" w:rsidRPr="00CD453E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Zihinsel yetersizliği olan çocuğa okulun ilk günlerinde kendine yakın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bulduğu arkadaşlarla oyun oynatılmalıdır.</w:t>
            </w:r>
          </w:p>
          <w:p w:rsidR="008365E1" w:rsidRPr="00CD453E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Bu çocuklar kalabalığa girmeye çekiniyorsa küçük grup çalışması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yapılarak çalışmaları ödüllendirilmelidir.</w:t>
            </w:r>
          </w:p>
          <w:p w:rsidR="008365E1" w:rsidRPr="00CD453E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Sınıfta çocuğa küçük sorumluluklar verilmelidir.</w:t>
            </w:r>
          </w:p>
          <w:p w:rsidR="008365E1" w:rsidRPr="00CD453E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Zihinsel yetersizliği olan çocuklar oyun ve toplum kurallarına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uymakta zorluk çekerler. Kuralları güç oyunlara katılmak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istemeyebilirler. Kurallar, bu çocukların anlayacağı ve uyacağı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seviyede basitleştirilmelidir. Çocuğun oyun içinde başarı duygusunu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yaşayabileceği oyunların seçilmesine dikkat edilmelidir (bu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nedenle çocuk oyunda daha az sorumluluk gerektiren pozisyona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yerleştirilebilir).</w:t>
            </w:r>
          </w:p>
          <w:p w:rsidR="008365E1" w:rsidRPr="00CD453E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Sosyal etkinliklere karşı ilgileri azdır, bu nedenle etkinliklere aktif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olarak katılımları sağlanmalıdır.</w:t>
            </w:r>
          </w:p>
          <w:p w:rsidR="008365E1" w:rsidRPr="00CD453E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Sosyal ilişkilerde bencil davranabilirler. Oyunlar sırasında tüm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materyallerin kendilerine ait olmasını isteyebilirler. İlgili kazanımlar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içinde kendilerine ait olan eşyaları başkalarıyla paylaşmaya ilişkin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çalışmalar yapılarak, çocuğun başarılı girişimleri ödüllendirilmelidir.</w:t>
            </w:r>
          </w:p>
          <w:p w:rsidR="008365E1" w:rsidRPr="00CD453E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Zihinsel yetersizliği olan çocuklar grup çalışmalarına katılmaları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konusunda desteklenmelidir.</w:t>
            </w:r>
          </w:p>
        </w:tc>
      </w:tr>
      <w:tr w:rsidR="008365E1" w:rsidRPr="00FE1989" w:rsidTr="008365E1">
        <w:trPr>
          <w:trHeight w:hRule="exact" w:val="2126"/>
        </w:trPr>
        <w:tc>
          <w:tcPr>
            <w:tcW w:w="2764" w:type="dxa"/>
            <w:shd w:val="clear" w:color="auto" w:fill="auto"/>
            <w:noWrap/>
            <w:vAlign w:val="center"/>
            <w:hideMark/>
          </w:tcPr>
          <w:p w:rsidR="008365E1" w:rsidRPr="00F55366" w:rsidRDefault="008365E1" w:rsidP="008365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7030A0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color w:val="7030A0"/>
                <w:lang w:eastAsia="tr-TR"/>
              </w:rPr>
              <w:t>Motor</w:t>
            </w:r>
          </w:p>
        </w:tc>
        <w:tc>
          <w:tcPr>
            <w:tcW w:w="12190" w:type="dxa"/>
            <w:shd w:val="clear" w:color="auto" w:fill="auto"/>
            <w:vAlign w:val="center"/>
            <w:hideMark/>
          </w:tcPr>
          <w:p w:rsidR="008365E1" w:rsidRPr="00CD453E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Zihinsel yetersizliği olan çocuklar denge, esneklik, hız ve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dayanıklılık açsından zayıftırlar. Küçük kas gelişimleri yaşıtlarına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göre zayıf olabilmektedir. Bu çocukların küçük kas gelişimlerine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yönelik egzersizler yaptırılabilir.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Örn: İpe boncuk dizme, oyun hamuru ile yapılan çalışmalar.</w:t>
            </w:r>
          </w:p>
          <w:p w:rsidR="008365E1" w:rsidRPr="00BC69E4" w:rsidRDefault="008365E1" w:rsidP="008365E1">
            <w:pPr>
              <w:numPr>
                <w:ilvl w:val="0"/>
                <w:numId w:val="2"/>
              </w:numPr>
              <w:tabs>
                <w:tab w:val="left" w:pos="330"/>
              </w:tabs>
              <w:spacing w:after="0" w:line="240" w:lineRule="auto"/>
              <w:ind w:left="316" w:right="176" w:hanging="245"/>
              <w:jc w:val="both"/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 w:rsidRPr="00CD453E">
              <w:rPr>
                <w:rFonts w:ascii="Times New Roman" w:eastAsia="Times New Roman" w:hAnsi="Times New Roman"/>
                <w:color w:val="000000"/>
                <w:lang w:eastAsia="tr-TR"/>
              </w:rPr>
              <w:t>Kas gevşekliği belirgin özelliği olan zihinsel yetersizlik türlerinde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BC69E4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(Örneğin: </w:t>
            </w:r>
            <w:proofErr w:type="spellStart"/>
            <w:r w:rsidRPr="00BC69E4">
              <w:rPr>
                <w:rFonts w:ascii="Times New Roman" w:eastAsia="Times New Roman" w:hAnsi="Times New Roman"/>
                <w:color w:val="000000"/>
                <w:lang w:eastAsia="tr-TR"/>
              </w:rPr>
              <w:t>Down</w:t>
            </w:r>
            <w:proofErr w:type="spellEnd"/>
            <w:r w:rsidRPr="00BC69E4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proofErr w:type="gramStart"/>
            <w:r w:rsidRPr="00BC69E4">
              <w:rPr>
                <w:rFonts w:ascii="Times New Roman" w:eastAsia="Times New Roman" w:hAnsi="Times New Roman"/>
                <w:color w:val="000000"/>
                <w:lang w:eastAsia="tr-TR"/>
              </w:rPr>
              <w:t>sendromu</w:t>
            </w:r>
            <w:proofErr w:type="gramEnd"/>
            <w:r w:rsidRPr="00BC69E4">
              <w:rPr>
                <w:rFonts w:ascii="Times New Roman" w:eastAsia="Times New Roman" w:hAnsi="Times New Roman"/>
                <w:color w:val="000000"/>
                <w:lang w:eastAsia="tr-TR"/>
              </w:rPr>
              <w:t>) büyük kas becerilerini geliştirmeye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BC69E4">
              <w:rPr>
                <w:rFonts w:ascii="Times New Roman" w:eastAsia="Times New Roman" w:hAnsi="Times New Roman"/>
                <w:color w:val="000000"/>
                <w:lang w:eastAsia="tr-TR"/>
              </w:rPr>
              <w:t>yönelik egzersizlerin yapılması sırasında çocuğun fizyoterapistinden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BC69E4">
              <w:rPr>
                <w:rFonts w:ascii="Times New Roman" w:eastAsia="Times New Roman" w:hAnsi="Times New Roman"/>
                <w:color w:val="000000"/>
                <w:lang w:eastAsia="tr-TR"/>
              </w:rPr>
              <w:t>öneri almak gereklidir. Yapılacak çalışmaların çocuğun büyük kas</w:t>
            </w: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BC69E4"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gelişiminde kalıcı hasar bırakmasına engel olmak için </w:t>
            </w:r>
            <w:proofErr w:type="gramStart"/>
            <w:r w:rsidRPr="00BC69E4">
              <w:rPr>
                <w:rFonts w:ascii="Times New Roman" w:eastAsia="Times New Roman" w:hAnsi="Times New Roman"/>
                <w:color w:val="000000"/>
                <w:lang w:eastAsia="tr-TR"/>
              </w:rPr>
              <w:t>fizyoterapistin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</w:t>
            </w:r>
            <w:r w:rsidRPr="00BC69E4">
              <w:rPr>
                <w:rFonts w:ascii="Times New Roman" w:eastAsia="Times New Roman" w:hAnsi="Times New Roman"/>
                <w:color w:val="000000"/>
                <w:lang w:eastAsia="tr-TR"/>
              </w:rPr>
              <w:t>raporunda yer alan öneriler özenle dikkate alınmalıdır.</w:t>
            </w:r>
          </w:p>
        </w:tc>
      </w:tr>
    </w:tbl>
    <w:p w:rsidR="008365E1" w:rsidRDefault="008365E1" w:rsidP="008365E1"/>
    <w:p w:rsidR="008365E1" w:rsidRDefault="008365E1" w:rsidP="008365E1"/>
    <w:p w:rsidR="008365E1" w:rsidRDefault="008365E1" w:rsidP="008365E1"/>
    <w:p w:rsidR="008365E1" w:rsidRDefault="008365E1" w:rsidP="008365E1"/>
    <w:p w:rsidR="008365E1" w:rsidRDefault="008365E1" w:rsidP="008365E1"/>
    <w:p w:rsidR="00DD066D" w:rsidRDefault="00DD066D"/>
    <w:sectPr w:rsidR="00DD066D" w:rsidSect="008365E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F5999"/>
    <w:multiLevelType w:val="hybridMultilevel"/>
    <w:tmpl w:val="44AA79CA"/>
    <w:lvl w:ilvl="0" w:tplc="D3FE4D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46A32E3E"/>
    <w:multiLevelType w:val="hybridMultilevel"/>
    <w:tmpl w:val="BCAE04C4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365E1"/>
    <w:rsid w:val="008365E1"/>
    <w:rsid w:val="00DD0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5E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1128</Words>
  <Characters>6436</Characters>
  <Application>Microsoft Office Word</Application>
  <DocSecurity>0</DocSecurity>
  <Lines>53</Lines>
  <Paragraphs>15</Paragraphs>
  <ScaleCrop>false</ScaleCrop>
  <Company>MİCROSOFT</Company>
  <LinksUpToDate>false</LinksUpToDate>
  <CharactersWithSpaces>7549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MİCROSOFTPC</dc:creator>
  <cp:keywords/>
  <dc:description/>
  <cp:lastModifiedBy>MİCROSOFTPC</cp:lastModifiedBy>
  <cp:revision>1</cp:revision>
  <dcterms:created xsi:type="dcterms:W3CDTF">2013-10-22T20:19:00Z</dcterms:created>
  <dcterms:modified xsi:type="dcterms:W3CDTF">2013-10-22T20:21:00Z</dcterms:modified>
</cp:coreProperties>
</file>